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10" w:rsidRPr="00101810" w:rsidRDefault="00101810" w:rsidP="00101810">
      <w:pPr>
        <w:shd w:val="clear" w:color="auto" w:fill="FFFFFF"/>
        <w:spacing w:before="4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pl-PL"/>
        </w:rPr>
      </w:pPr>
      <w:r w:rsidRPr="00101810"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pl-PL"/>
        </w:rPr>
        <w:t>Zakaz stosowania kar cielesnych wobec dzieci</w:t>
      </w:r>
    </w:p>
    <w:p w:rsidR="00101810" w:rsidRPr="00101810" w:rsidRDefault="00101810" w:rsidP="00101810">
      <w:pPr>
        <w:shd w:val="clear" w:color="auto" w:fill="FFFFFF"/>
        <w:spacing w:before="225" w:after="0" w:line="240" w:lineRule="auto"/>
        <w:jc w:val="both"/>
        <w:rPr>
          <w:rFonts w:ascii="inherit" w:eastAsia="Times New Roman" w:hAnsi="inherit" w:cs="Helvetica"/>
          <w:color w:val="222222"/>
          <w:sz w:val="36"/>
          <w:szCs w:val="36"/>
          <w:lang w:eastAsia="pl-PL"/>
        </w:rPr>
      </w:pPr>
      <w:r w:rsidRPr="00101810">
        <w:rPr>
          <w:rFonts w:ascii="inherit" w:eastAsia="Times New Roman" w:hAnsi="inherit" w:cs="Helvetica"/>
          <w:color w:val="222222"/>
          <w:sz w:val="36"/>
          <w:szCs w:val="36"/>
          <w:lang w:eastAsia="pl-PL"/>
        </w:rPr>
        <w:t>Izolacja sprawców od ofiar przemocy, zakaz zbliżania, nakaz opuszczenia wspólnego mieszkania oraz wywołujący wiele kontrowersji zakaz stosowania kar cielesnych wobec dzieci, to jedne z wielu zmian jakie wprowadza nowelizacja ustawy o przeciwdziałaniu przemocy w rodzinie. Nowe przepisy, obowiązujące od 1 sierpnia 2010r., mają na celu przede wszystkim wzmocnienie ochrony ofiar przemocy w rodzinie.</w:t>
      </w:r>
    </w:p>
    <w:p w:rsidR="00101810" w:rsidRPr="00101810" w:rsidRDefault="00101810" w:rsidP="00101810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222222"/>
          <w:sz w:val="36"/>
          <w:szCs w:val="36"/>
          <w:lang w:eastAsia="pl-PL"/>
        </w:rPr>
      </w:pPr>
      <w:r w:rsidRPr="00101810">
        <w:rPr>
          <w:rFonts w:ascii="Helvetica" w:eastAsia="Times New Roman" w:hAnsi="Helvetica" w:cs="Helvetica"/>
          <w:noProof/>
          <w:color w:val="222222"/>
          <w:sz w:val="36"/>
          <w:szCs w:val="36"/>
          <w:lang w:eastAsia="pl-PL"/>
        </w:rPr>
        <w:drawing>
          <wp:inline distT="0" distB="0" distL="0" distR="0">
            <wp:extent cx="9525" cy="9525"/>
            <wp:effectExtent l="0" t="0" r="0" b="0"/>
            <wp:docPr id="4" name="Obraz 4" descr="http://www.infor.pl/transparentPixel/?id=241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for.pl/transparentPixel/?id=24188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810" w:rsidRPr="00101810" w:rsidRDefault="00101810" w:rsidP="0010181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222222"/>
          <w:sz w:val="36"/>
          <w:szCs w:val="36"/>
          <w:lang w:eastAsia="pl-PL"/>
        </w:rPr>
      </w:pPr>
    </w:p>
    <w:p w:rsidR="00101810" w:rsidRPr="00101810" w:rsidRDefault="00101810" w:rsidP="00101810">
      <w:pPr>
        <w:shd w:val="clear" w:color="auto" w:fill="FFFFFF"/>
        <w:spacing w:after="300" w:line="240" w:lineRule="auto"/>
        <w:jc w:val="both"/>
        <w:rPr>
          <w:rFonts w:ascii="inherit" w:eastAsia="Times New Roman" w:hAnsi="inherit" w:cs="Helvetica"/>
          <w:color w:val="222222"/>
          <w:sz w:val="36"/>
          <w:szCs w:val="36"/>
          <w:lang w:eastAsia="pl-PL"/>
        </w:rPr>
      </w:pPr>
      <w:r w:rsidRPr="00101810">
        <w:rPr>
          <w:rFonts w:ascii="inherit" w:eastAsia="Times New Roman" w:hAnsi="inherit" w:cs="Helvetica"/>
          <w:color w:val="222222"/>
          <w:sz w:val="36"/>
          <w:szCs w:val="36"/>
          <w:lang w:eastAsia="pl-PL"/>
        </w:rPr>
        <w:t>Osobom dotkniętym przemocą w rodzinie ma być udzielona bezpłatna pomoc, szczególnie w formie poradnictwa medycznego, psychologicznego, prawnego, zapewnienia bezpiecznego schronienia w specjalistycznym ośrodku wsparcia dla ofiar przemocy w rodzinie oraz pomoc w uzyskaniu mieszkania osobom, które nie mają tytułu prawnego do zajmowanego wspólnie ze sprawcą mieszkania. Pokrzywdzeni mają również prawo do darmowych badań lekarskich, w celu ustalenia przyczyn i rodzaju uszkodzeń ciała związanych z użyciem przemocy. Do tej pory wiele ofiar nie poddawało się obdukcji ze względu na koszty jakie za sobą niosła.</w:t>
      </w:r>
    </w:p>
    <w:p w:rsidR="00101810" w:rsidRPr="00101810" w:rsidRDefault="00101810" w:rsidP="00101810">
      <w:pPr>
        <w:shd w:val="clear" w:color="auto" w:fill="FFFFFF"/>
        <w:spacing w:before="240" w:after="120" w:line="240" w:lineRule="auto"/>
        <w:jc w:val="both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pl-PL"/>
        </w:rPr>
      </w:pPr>
      <w:r w:rsidRPr="00101810"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pl-PL"/>
        </w:rPr>
        <w:t>Nakaz opuszczenia mieszkania przez sprawcę przemocy</w:t>
      </w:r>
    </w:p>
    <w:p w:rsidR="00101810" w:rsidRPr="00101810" w:rsidRDefault="00101810" w:rsidP="00101810">
      <w:pPr>
        <w:shd w:val="clear" w:color="auto" w:fill="FFFFFF"/>
        <w:spacing w:after="300" w:line="240" w:lineRule="auto"/>
        <w:jc w:val="both"/>
        <w:rPr>
          <w:rFonts w:ascii="inherit" w:eastAsia="Times New Roman" w:hAnsi="inherit" w:cs="Helvetica"/>
          <w:color w:val="222222"/>
          <w:sz w:val="36"/>
          <w:szCs w:val="36"/>
          <w:lang w:eastAsia="pl-PL"/>
        </w:rPr>
      </w:pPr>
      <w:r w:rsidRPr="00101810">
        <w:rPr>
          <w:rFonts w:ascii="inherit" w:eastAsia="Times New Roman" w:hAnsi="inherit" w:cs="Helvetica"/>
          <w:color w:val="222222"/>
          <w:sz w:val="36"/>
          <w:szCs w:val="36"/>
          <w:lang w:eastAsia="pl-PL"/>
        </w:rPr>
        <w:t xml:space="preserve">Dzięki nowelizacji ofiary przemocy nie będą musiały mieszkać ze swoimi oprawcami. Pokrzywdzonym zapewnia się ochronę poprzez uniemożliwienie osobom stosującym przemoc korzystania ze wspólnie zajmowanego z innymi członkami rodziny mieszkania oraz zakazanie kontaktowania </w:t>
      </w:r>
      <w:r w:rsidRPr="00101810">
        <w:rPr>
          <w:rFonts w:ascii="inherit" w:eastAsia="Times New Roman" w:hAnsi="inherit" w:cs="Helvetica"/>
          <w:color w:val="222222"/>
          <w:sz w:val="36"/>
          <w:szCs w:val="36"/>
          <w:lang w:eastAsia="pl-PL"/>
        </w:rPr>
        <w:lastRenderedPageBreak/>
        <w:t>się i zbliżania do ofiary. Decyzję o obowiązku opuszczenia mieszkania wydaje sąd na wniosek pokrzywdzonego.</w:t>
      </w:r>
    </w:p>
    <w:p w:rsidR="00101810" w:rsidRPr="00101810" w:rsidRDefault="00101810" w:rsidP="00101810">
      <w:pPr>
        <w:shd w:val="clear" w:color="auto" w:fill="FFFFFF"/>
        <w:spacing w:after="300" w:line="240" w:lineRule="auto"/>
        <w:jc w:val="both"/>
        <w:rPr>
          <w:rFonts w:ascii="inherit" w:eastAsia="Times New Roman" w:hAnsi="inherit" w:cs="Helvetica"/>
          <w:color w:val="222222"/>
          <w:sz w:val="36"/>
          <w:szCs w:val="36"/>
          <w:lang w:eastAsia="pl-PL"/>
        </w:rPr>
      </w:pPr>
      <w:r w:rsidRPr="00101810">
        <w:rPr>
          <w:rFonts w:ascii="inherit" w:eastAsia="Times New Roman" w:hAnsi="inherit" w:cs="Helvetica"/>
          <w:color w:val="222222"/>
          <w:sz w:val="36"/>
          <w:szCs w:val="36"/>
          <w:lang w:eastAsia="pl-PL"/>
        </w:rPr>
        <w:t>Nakaz opuszczenia zajmowanego lokalu mieszkalnego jako </w:t>
      </w:r>
      <w:r w:rsidRPr="00101810">
        <w:rPr>
          <w:rFonts w:ascii="inherit" w:eastAsia="Times New Roman" w:hAnsi="inherit" w:cs="Helvetica"/>
          <w:b/>
          <w:bCs/>
          <w:color w:val="005EA8"/>
          <w:sz w:val="36"/>
          <w:szCs w:val="36"/>
          <w:u w:val="single"/>
          <w:lang w:eastAsia="pl-PL"/>
        </w:rPr>
        <w:t>środek zapobiegawczy</w:t>
      </w:r>
      <w:r w:rsidRPr="00101810">
        <w:rPr>
          <w:rFonts w:ascii="inherit" w:eastAsia="Times New Roman" w:hAnsi="inherit" w:cs="Helvetica"/>
          <w:color w:val="222222"/>
          <w:sz w:val="36"/>
          <w:szCs w:val="36"/>
          <w:lang w:eastAsia="pl-PL"/>
        </w:rPr>
        <w:t> wobec oskarżonego o przestępstwo popełnione z użyciem przemocy w stosunku do osób z nim zamieszkujących może zastosować również prokurator. Podstawą do zastosowania tego środka jest uzasadniona obawa, że oskarżony ponownie popełni przestępstwo użycia przemocy wobec osób z nim zamieszkujących, a zwłaszcza gdy stosował takie groźby. Jeżeli zachodzi powyższa obawa,</w:t>
      </w:r>
      <w:r w:rsidR="00594F28">
        <w:rPr>
          <w:rFonts w:ascii="inherit" w:eastAsia="Times New Roman" w:hAnsi="inherit" w:cs="Helvetica"/>
          <w:color w:val="222222"/>
          <w:sz w:val="36"/>
          <w:szCs w:val="36"/>
          <w:lang w:eastAsia="pl-PL"/>
        </w:rPr>
        <w:t xml:space="preserve"> </w:t>
      </w:r>
      <w:r w:rsidRPr="00101810">
        <w:rPr>
          <w:rFonts w:ascii="inherit" w:eastAsia="Times New Roman" w:hAnsi="inherit" w:cs="Helvetica"/>
          <w:b/>
          <w:bCs/>
          <w:color w:val="005EA8"/>
          <w:sz w:val="36"/>
          <w:szCs w:val="36"/>
          <w:u w:val="single"/>
          <w:lang w:eastAsia="pl-PL"/>
        </w:rPr>
        <w:t>Policja</w:t>
      </w:r>
      <w:r w:rsidRPr="00101810">
        <w:rPr>
          <w:rFonts w:ascii="inherit" w:eastAsia="Times New Roman" w:hAnsi="inherit" w:cs="Helvetica"/>
          <w:color w:val="222222"/>
          <w:sz w:val="36"/>
          <w:szCs w:val="36"/>
          <w:lang w:eastAsia="pl-PL"/>
        </w:rPr>
        <w:t> niezwłocznie, nie później niż w terminie 24 godzin od zatrzymania osoby stosującej przemoc, wystąpi z wnioskiem do prokuratora o zastosowanie omawianego środka. Wniosek powinien być rozpatrzony w ciągu 48 godzin od chwili zatrzymania oskarżonego. Środek stosuje się na okres nie dłuższy niż trzy miesiące, jednak jeżeli nie ustały przesłanki jego stosowania sąd może przedłużyć jego obowiązywanie o dalsze okresy, które również nie mogą przekraczać trzech miesięcy. Na wniosek oskarżonego sąd może wskazać mu miejsce pobytu w placówce zapewniającej miejsca noclegowe.</w:t>
      </w:r>
    </w:p>
    <w:p w:rsidR="00101810" w:rsidRPr="00101810" w:rsidRDefault="00101810" w:rsidP="00101810">
      <w:pPr>
        <w:shd w:val="clear" w:color="auto" w:fill="FFFFFF"/>
        <w:spacing w:before="240" w:after="120" w:line="240" w:lineRule="auto"/>
        <w:jc w:val="both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pl-PL"/>
        </w:rPr>
      </w:pPr>
      <w:r w:rsidRPr="00101810"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pl-PL"/>
        </w:rPr>
        <w:t>Kiedy pracownik socjalny może odebrać rodzicom dziecko</w:t>
      </w:r>
    </w:p>
    <w:p w:rsidR="00101810" w:rsidRPr="00101810" w:rsidRDefault="00101810" w:rsidP="00101810">
      <w:pPr>
        <w:shd w:val="clear" w:color="auto" w:fill="FFFFFF"/>
        <w:spacing w:after="300" w:line="240" w:lineRule="auto"/>
        <w:jc w:val="both"/>
        <w:rPr>
          <w:rFonts w:ascii="inherit" w:eastAsia="Times New Roman" w:hAnsi="inherit" w:cs="Helvetica"/>
          <w:color w:val="222222"/>
          <w:sz w:val="36"/>
          <w:szCs w:val="36"/>
          <w:lang w:eastAsia="pl-PL"/>
        </w:rPr>
      </w:pPr>
      <w:r w:rsidRPr="00101810">
        <w:rPr>
          <w:rFonts w:ascii="inherit" w:eastAsia="Times New Roman" w:hAnsi="inherit" w:cs="Helvetica"/>
          <w:color w:val="222222"/>
          <w:sz w:val="36"/>
          <w:szCs w:val="36"/>
          <w:lang w:eastAsia="pl-PL"/>
        </w:rPr>
        <w:t xml:space="preserve">Zgodnie z nowymi przepisami, pracownik socjalny wykonujący obowiązki służbowe, aby zapewnić bezpieczeństwo dziecku może odebrać je rodzicom, jednak tylko w sytuacji bezpośredniego zagrożenia jego życia lub zdrowia, jeżeli zdarzenie to spowodowane jest przemocą w rodzinie. Decyzję o odebraniu małoletniego z rodziny i umieszczeniu go u innej niezamieszkującej wspólnie osoby najbliższej, rodzinie zastępczej lub całodobowej placówce opiekuńczo-wychowawczej, podejmuje pracownik socjalny </w:t>
      </w:r>
      <w:r w:rsidRPr="00101810">
        <w:rPr>
          <w:rFonts w:ascii="inherit" w:eastAsia="Times New Roman" w:hAnsi="inherit" w:cs="Helvetica"/>
          <w:color w:val="222222"/>
          <w:sz w:val="36"/>
          <w:szCs w:val="36"/>
          <w:lang w:eastAsia="pl-PL"/>
        </w:rPr>
        <w:lastRenderedPageBreak/>
        <w:t>wspólnie funkcjonariuszem Policji, a także lekarzem lub ratownikiem medycznym. O powziętych działaniach niezwłocznie powiadamia sąd, który decyduje o dalszych losach dziecka. Rodzicom oraz opiekunom prawnym lub faktycznym przysługuje zażalenie na powyższą decyzję do sądu opiekuńczego, które sąd rozpatrzy w ciągu 24 godzin.</w:t>
      </w:r>
    </w:p>
    <w:p w:rsidR="00101810" w:rsidRPr="00101810" w:rsidRDefault="00101810" w:rsidP="00101810">
      <w:pPr>
        <w:shd w:val="clear" w:color="auto" w:fill="FFFFFF"/>
        <w:spacing w:after="300" w:line="240" w:lineRule="auto"/>
        <w:jc w:val="both"/>
        <w:rPr>
          <w:rFonts w:ascii="inherit" w:eastAsia="Times New Roman" w:hAnsi="inherit" w:cs="Helvetica"/>
          <w:color w:val="222222"/>
          <w:sz w:val="36"/>
          <w:szCs w:val="36"/>
          <w:lang w:eastAsia="pl-PL"/>
        </w:rPr>
      </w:pPr>
      <w:r w:rsidRPr="00101810">
        <w:rPr>
          <w:rFonts w:ascii="inherit" w:eastAsia="Times New Roman" w:hAnsi="inherit" w:cs="Helvetica"/>
          <w:b/>
          <w:bCs/>
          <w:color w:val="222222"/>
          <w:sz w:val="36"/>
          <w:szCs w:val="36"/>
          <w:lang w:eastAsia="pl-PL"/>
        </w:rPr>
        <w:t>Zobacz również serwis:</w:t>
      </w:r>
      <w:r w:rsidRPr="00101810">
        <w:rPr>
          <w:rFonts w:ascii="inherit" w:eastAsia="Times New Roman" w:hAnsi="inherit" w:cs="Helvetica"/>
          <w:color w:val="222222"/>
          <w:sz w:val="36"/>
          <w:szCs w:val="36"/>
          <w:lang w:eastAsia="pl-PL"/>
        </w:rPr>
        <w:t> </w:t>
      </w:r>
      <w:r w:rsidRPr="00101810">
        <w:rPr>
          <w:rFonts w:ascii="inherit" w:eastAsia="Times New Roman" w:hAnsi="inherit" w:cs="Helvetica"/>
          <w:b/>
          <w:bCs/>
          <w:color w:val="005EA8"/>
          <w:sz w:val="36"/>
          <w:szCs w:val="36"/>
          <w:u w:val="single"/>
          <w:lang w:eastAsia="pl-PL"/>
        </w:rPr>
        <w:t>Prawa ofiary przestępstwa</w:t>
      </w:r>
    </w:p>
    <w:p w:rsidR="00101810" w:rsidRPr="00101810" w:rsidRDefault="00101810" w:rsidP="00101810">
      <w:pPr>
        <w:shd w:val="clear" w:color="auto" w:fill="FFFFFF"/>
        <w:spacing w:before="240" w:after="120" w:line="240" w:lineRule="auto"/>
        <w:jc w:val="both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pl-PL"/>
        </w:rPr>
      </w:pPr>
      <w:r w:rsidRPr="00101810"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pl-PL"/>
        </w:rPr>
        <w:t>Koniec ze stosowaniem kar cielesnych wobec dzieci</w:t>
      </w:r>
    </w:p>
    <w:p w:rsidR="00101810" w:rsidRPr="00101810" w:rsidRDefault="00101810" w:rsidP="00101810">
      <w:pPr>
        <w:shd w:val="clear" w:color="auto" w:fill="FFFFFF"/>
        <w:spacing w:after="300" w:line="240" w:lineRule="auto"/>
        <w:jc w:val="both"/>
        <w:rPr>
          <w:rFonts w:ascii="inherit" w:eastAsia="Times New Roman" w:hAnsi="inherit" w:cs="Helvetica"/>
          <w:color w:val="222222"/>
          <w:sz w:val="36"/>
          <w:szCs w:val="36"/>
          <w:lang w:eastAsia="pl-PL"/>
        </w:rPr>
      </w:pPr>
      <w:r w:rsidRPr="00101810">
        <w:rPr>
          <w:rFonts w:ascii="inherit" w:eastAsia="Times New Roman" w:hAnsi="inherit" w:cs="Helvetica"/>
          <w:color w:val="222222"/>
          <w:sz w:val="36"/>
          <w:szCs w:val="36"/>
          <w:lang w:eastAsia="pl-PL"/>
        </w:rPr>
        <w:t>Przeciwnicy wprowadzenia zakazu stosowania kar cielesnych obawiają się, że taka regulacja może doprowadzić do nadmiernej ingerencji w autonomię rodziny i umożliwiać np. zbuntowanym nastolatkom ograniczanie wpływu rodziców na ich postępowanie. Ustawodawca uznał jednak, że „klaps” nie stanowi metody wychowania, a jest jedynie przejawem agresji wobec dziecka. Zwolennicy powołują się na Szwecję, gdzie taki zakaz obowiązuje już od 30 lat, w ciągu których zdarzyło się jedynie 10 przypadków bezpodstawnego oskarżenia swoich rodziców przez dzieci.</w:t>
      </w:r>
    </w:p>
    <w:p w:rsidR="00101810" w:rsidRPr="00101810" w:rsidRDefault="00101810" w:rsidP="00101810">
      <w:pPr>
        <w:shd w:val="clear" w:color="auto" w:fill="FFFFFF"/>
        <w:spacing w:after="300" w:line="240" w:lineRule="auto"/>
        <w:jc w:val="both"/>
        <w:rPr>
          <w:rFonts w:ascii="inherit" w:eastAsia="Times New Roman" w:hAnsi="inherit" w:cs="Helvetica"/>
          <w:color w:val="222222"/>
          <w:sz w:val="36"/>
          <w:szCs w:val="36"/>
          <w:lang w:eastAsia="pl-PL"/>
        </w:rPr>
      </w:pPr>
      <w:r w:rsidRPr="00101810">
        <w:rPr>
          <w:rFonts w:ascii="inherit" w:eastAsia="Times New Roman" w:hAnsi="inherit" w:cs="Helvetica"/>
          <w:b/>
          <w:bCs/>
          <w:color w:val="222222"/>
          <w:sz w:val="36"/>
          <w:szCs w:val="36"/>
          <w:lang w:eastAsia="pl-PL"/>
        </w:rPr>
        <w:t>Zobacz również serwis:</w:t>
      </w:r>
      <w:r w:rsidRPr="00101810">
        <w:rPr>
          <w:rFonts w:ascii="inherit" w:eastAsia="Times New Roman" w:hAnsi="inherit" w:cs="Helvetica"/>
          <w:color w:val="222222"/>
          <w:sz w:val="36"/>
          <w:szCs w:val="36"/>
          <w:lang w:eastAsia="pl-PL"/>
        </w:rPr>
        <w:t> </w:t>
      </w:r>
      <w:hyperlink r:id="rId5" w:tooltip="Pomoc społeczna" w:history="1">
        <w:r w:rsidRPr="00101810">
          <w:rPr>
            <w:rFonts w:ascii="inherit" w:eastAsia="Times New Roman" w:hAnsi="inherit" w:cs="Helvetica"/>
            <w:b/>
            <w:bCs/>
            <w:color w:val="005EA8"/>
            <w:sz w:val="36"/>
            <w:szCs w:val="36"/>
            <w:u w:val="single"/>
            <w:lang w:eastAsia="pl-PL"/>
          </w:rPr>
          <w:t>Pomoc społeczna</w:t>
        </w:r>
      </w:hyperlink>
    </w:p>
    <w:p w:rsidR="00101810" w:rsidRPr="00101810" w:rsidRDefault="00101810" w:rsidP="00101810">
      <w:pPr>
        <w:shd w:val="clear" w:color="auto" w:fill="FFFFFF"/>
        <w:spacing w:after="300" w:line="240" w:lineRule="auto"/>
        <w:jc w:val="both"/>
        <w:rPr>
          <w:rFonts w:ascii="inherit" w:eastAsia="Times New Roman" w:hAnsi="inherit" w:cs="Helvetica"/>
          <w:color w:val="222222"/>
          <w:sz w:val="36"/>
          <w:szCs w:val="36"/>
          <w:lang w:eastAsia="pl-PL"/>
        </w:rPr>
      </w:pPr>
      <w:r w:rsidRPr="00101810">
        <w:rPr>
          <w:rFonts w:ascii="inherit" w:eastAsia="Times New Roman" w:hAnsi="inherit" w:cs="Helvetica"/>
          <w:color w:val="222222"/>
          <w:sz w:val="36"/>
          <w:szCs w:val="36"/>
          <w:lang w:eastAsia="pl-PL"/>
        </w:rPr>
        <w:t>Problem znęcania się nad rodziną, wbrew powszechnemu poglądowi, nie jest prywatną sprawą pokrzywdzonych. Ustawa stanowi, że osoby będące świadkami przemocy w rodzinie powinny zawiadomić o tym Policję, prokuratora lub inny podmiot działający na rzecz przeciwdziałania w rodzinie.</w:t>
      </w:r>
      <w:bookmarkStart w:id="0" w:name="_GoBack"/>
      <w:bookmarkEnd w:id="0"/>
    </w:p>
    <w:p w:rsidR="00916901" w:rsidRDefault="00916901"/>
    <w:sectPr w:rsidR="00916901" w:rsidSect="00F10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1810"/>
    <w:rsid w:val="00101810"/>
    <w:rsid w:val="00594F28"/>
    <w:rsid w:val="00916901"/>
    <w:rsid w:val="00F10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100"/>
  </w:style>
  <w:style w:type="paragraph" w:styleId="Nagwek1">
    <w:name w:val="heading 1"/>
    <w:basedOn w:val="Normalny"/>
    <w:link w:val="Nagwek1Znak"/>
    <w:uiPriority w:val="9"/>
    <w:qFormat/>
    <w:rsid w:val="001018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018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181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018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ot4bbtext">
    <w:name w:val="not4bbtext"/>
    <w:basedOn w:val="Normalny"/>
    <w:rsid w:val="0010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0181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0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01810"/>
  </w:style>
  <w:style w:type="paragraph" w:customStyle="1" w:styleId="linkowanie">
    <w:name w:val="linkowanie"/>
    <w:basedOn w:val="Normalny"/>
    <w:rsid w:val="0010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1810"/>
    <w:rPr>
      <w:b/>
      <w:bCs/>
    </w:rPr>
  </w:style>
  <w:style w:type="paragraph" w:customStyle="1" w:styleId="icosprite">
    <w:name w:val="ico_sprite"/>
    <w:basedOn w:val="Normalny"/>
    <w:rsid w:val="0010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018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018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181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018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ot4bbtext">
    <w:name w:val="not4bbtext"/>
    <w:basedOn w:val="Normalny"/>
    <w:rsid w:val="0010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0181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0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01810"/>
  </w:style>
  <w:style w:type="paragraph" w:customStyle="1" w:styleId="linkowanie">
    <w:name w:val="linkowanie"/>
    <w:basedOn w:val="Normalny"/>
    <w:rsid w:val="0010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1810"/>
    <w:rPr>
      <w:b/>
      <w:bCs/>
    </w:rPr>
  </w:style>
  <w:style w:type="paragraph" w:customStyle="1" w:styleId="icosprite">
    <w:name w:val="ico_sprite"/>
    <w:basedOn w:val="Normalny"/>
    <w:rsid w:val="0010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4269">
          <w:marLeft w:val="0"/>
          <w:marRight w:val="0"/>
          <w:marTop w:val="150"/>
          <w:marBottom w:val="150"/>
          <w:divBdr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divBdr>
          <w:divsChild>
            <w:div w:id="6492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29666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for.pl/prawo/pomoc-spoleczna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swietlica</dc:creator>
  <cp:lastModifiedBy>Wera</cp:lastModifiedBy>
  <cp:revision>2</cp:revision>
  <cp:lastPrinted>2015-01-16T07:31:00Z</cp:lastPrinted>
  <dcterms:created xsi:type="dcterms:W3CDTF">2015-01-25T11:23:00Z</dcterms:created>
  <dcterms:modified xsi:type="dcterms:W3CDTF">2015-01-25T11:23:00Z</dcterms:modified>
</cp:coreProperties>
</file>